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045F3" w14:textId="77777777" w:rsidR="00F7180F" w:rsidRPr="007B5B4C" w:rsidRDefault="00B66982">
      <w:pPr>
        <w:spacing w:after="80"/>
        <w:jc w:val="center"/>
        <w:rPr>
          <w:rFonts w:ascii="Times New Roman" w:hAnsi="Times New Roman" w:cs="Times New Roman"/>
        </w:rPr>
      </w:pPr>
      <w:r w:rsidRPr="007B5B4C">
        <w:rPr>
          <w:rFonts w:ascii="Times New Roman" w:eastAsia="Georgia" w:hAnsi="Times New Roman" w:cs="Times New Roman"/>
          <w:b/>
          <w:bCs/>
          <w:sz w:val="36"/>
          <w:szCs w:val="36"/>
        </w:rPr>
        <w:t>The Urban Planning of Longevity</w:t>
      </w:r>
    </w:p>
    <w:p w14:paraId="362045F4" w14:textId="0C900A8B" w:rsidR="00F7180F" w:rsidRPr="007B5B4C" w:rsidRDefault="00B66982">
      <w:pPr>
        <w:spacing w:after="240"/>
        <w:jc w:val="center"/>
        <w:rPr>
          <w:rFonts w:ascii="Times New Roman" w:hAnsi="Times New Roman" w:cs="Times New Roman"/>
        </w:rPr>
      </w:pPr>
      <w:r w:rsidRPr="007B5B4C">
        <w:rPr>
          <w:rFonts w:ascii="Times New Roman" w:eastAsia="Georgia" w:hAnsi="Times New Roman" w:cs="Times New Roman"/>
          <w:sz w:val="26"/>
          <w:szCs w:val="26"/>
        </w:rPr>
        <w:t xml:space="preserve">Rebuilding Community Mutual-Support Systems in a </w:t>
      </w:r>
      <w:r w:rsidR="00E27E16" w:rsidRPr="007B5B4C">
        <w:rPr>
          <w:rFonts w:ascii="Times New Roman" w:eastAsia="Georgia" w:hAnsi="Times New Roman" w:cs="Times New Roman"/>
          <w:sz w:val="26"/>
          <w:szCs w:val="26"/>
        </w:rPr>
        <w:t>Super-Ageing</w:t>
      </w:r>
      <w:r w:rsidRPr="007B5B4C">
        <w:rPr>
          <w:rFonts w:ascii="Times New Roman" w:eastAsia="Georgia" w:hAnsi="Times New Roman" w:cs="Times New Roman"/>
          <w:sz w:val="26"/>
          <w:szCs w:val="26"/>
        </w:rPr>
        <w:t xml:space="preserve"> Society</w:t>
      </w:r>
    </w:p>
    <w:p w14:paraId="362045F5" w14:textId="77777777" w:rsidR="00F7180F" w:rsidRPr="007B5B4C" w:rsidRDefault="00F7180F">
      <w:pPr>
        <w:pBdr>
          <w:bottom w:val="single" w:sz="6" w:space="4" w:color="B0B7C3"/>
        </w:pBdr>
        <w:spacing w:after="240"/>
        <w:rPr>
          <w:rFonts w:ascii="Times New Roman" w:hAnsi="Times New Roman" w:cs="Times New Roman"/>
        </w:rPr>
      </w:pPr>
    </w:p>
    <w:p w14:paraId="362045F6" w14:textId="77777777" w:rsidR="00F7180F" w:rsidRPr="007B5B4C" w:rsidRDefault="00B66982">
      <w:pPr>
        <w:spacing w:before="120" w:after="160"/>
        <w:rPr>
          <w:rFonts w:ascii="Times New Roman" w:hAnsi="Times New Roman" w:cs="Times New Roman"/>
        </w:rPr>
      </w:pPr>
      <w:r w:rsidRPr="007B5B4C">
        <w:rPr>
          <w:rFonts w:ascii="Times New Roman" w:eastAsia="Georgia" w:hAnsi="Times New Roman" w:cs="Times New Roman"/>
          <w:b/>
          <w:bCs/>
          <w:sz w:val="26"/>
          <w:szCs w:val="26"/>
        </w:rPr>
        <w:t>Abstract</w:t>
      </w:r>
    </w:p>
    <w:p w14:paraId="362045F7" w14:textId="65AF280F" w:rsidR="00F7180F" w:rsidRPr="007B5B4C" w:rsidRDefault="00B66982">
      <w:pPr>
        <w:spacing w:after="200" w:line="276" w:lineRule="auto"/>
        <w:jc w:val="both"/>
        <w:rPr>
          <w:rFonts w:ascii="Times New Roman" w:hAnsi="Times New Roman" w:cs="Times New Roman"/>
        </w:rPr>
      </w:pPr>
      <w:r w:rsidRPr="007B5B4C">
        <w:rPr>
          <w:rFonts w:ascii="Times New Roman" w:eastAsia="Georgia" w:hAnsi="Times New Roman" w:cs="Times New Roman"/>
        </w:rPr>
        <w:t xml:space="preserve">Japan offers an early and full-scale view of a future that every society is approaching. According to Japan’s Statistics Bureau, 29.4% of the population was aged 65 or older in 2025 — the highest share among the world’s 38 nations with populations over 40 million — and this figure is projected to reach 34.8% by 2040. Behind these numbers, the </w:t>
      </w:r>
      <w:proofErr w:type="spellStart"/>
      <w:r w:rsidR="00E27E16" w:rsidRPr="007B5B4C">
        <w:rPr>
          <w:rFonts w:ascii="Times New Roman" w:eastAsia="Georgia" w:hAnsi="Times New Roman" w:cs="Times New Roman"/>
        </w:rPr>
        <w:t>organisations</w:t>
      </w:r>
      <w:proofErr w:type="spellEnd"/>
      <w:r w:rsidRPr="007B5B4C">
        <w:rPr>
          <w:rFonts w:ascii="Times New Roman" w:eastAsia="Georgia" w:hAnsi="Times New Roman" w:cs="Times New Roman"/>
        </w:rPr>
        <w:t xml:space="preserve"> that have long sustained everyday community life are quietly weakening. </w:t>
      </w:r>
      <w:proofErr w:type="spellStart"/>
      <w:r w:rsidR="00E27E16" w:rsidRPr="007B5B4C">
        <w:rPr>
          <w:rFonts w:ascii="Times New Roman" w:eastAsia="Georgia" w:hAnsi="Times New Roman" w:cs="Times New Roman"/>
        </w:rPr>
        <w:t>Neighbourhood</w:t>
      </w:r>
      <w:proofErr w:type="spellEnd"/>
      <w:r w:rsidR="00E27E16" w:rsidRPr="007B5B4C">
        <w:rPr>
          <w:rFonts w:ascii="Times New Roman" w:eastAsia="Georgia" w:hAnsi="Times New Roman" w:cs="Times New Roman"/>
        </w:rPr>
        <w:t xml:space="preserve"> associations, which for generations have provided information sharing, disaster preparedness, crime prevention, mutual monitoring, environmental maintenance, and coordination with local government, now face declining membership, ageing</w:t>
      </w:r>
      <w:r w:rsidRPr="007B5B4C">
        <w:rPr>
          <w:rFonts w:ascii="Times New Roman" w:eastAsia="Georgia" w:hAnsi="Times New Roman" w:cs="Times New Roman"/>
        </w:rPr>
        <w:t xml:space="preserve"> leaders, successor shortages, and an uneven distribution of responsibilities.</w:t>
      </w:r>
    </w:p>
    <w:p w14:paraId="362045F8" w14:textId="5FBA8FA2" w:rsidR="00F7180F" w:rsidRPr="007B5B4C" w:rsidRDefault="00B66982">
      <w:pPr>
        <w:spacing w:after="200" w:line="276" w:lineRule="auto"/>
        <w:jc w:val="both"/>
        <w:rPr>
          <w:rFonts w:ascii="Times New Roman" w:hAnsi="Times New Roman" w:cs="Times New Roman"/>
        </w:rPr>
      </w:pPr>
      <w:r w:rsidRPr="007B5B4C">
        <w:rPr>
          <w:rFonts w:ascii="Times New Roman" w:eastAsia="Georgia" w:hAnsi="Times New Roman" w:cs="Times New Roman"/>
        </w:rPr>
        <w:t xml:space="preserve">This presentation approaches the problem from the perspective of urban planning and </w:t>
      </w:r>
      <w:r w:rsidR="00E27E16" w:rsidRPr="007B5B4C">
        <w:rPr>
          <w:rFonts w:ascii="Times New Roman" w:eastAsia="Georgia" w:hAnsi="Times New Roman" w:cs="Times New Roman"/>
        </w:rPr>
        <w:t xml:space="preserve">social systems design and introduces cases in which </w:t>
      </w:r>
      <w:proofErr w:type="spellStart"/>
      <w:r w:rsidR="00E27E16" w:rsidRPr="007B5B4C">
        <w:rPr>
          <w:rFonts w:ascii="Times New Roman" w:eastAsia="Georgia" w:hAnsi="Times New Roman" w:cs="Times New Roman"/>
        </w:rPr>
        <w:t>neighbourhood</w:t>
      </w:r>
      <w:proofErr w:type="spellEnd"/>
      <w:r w:rsidR="00E27E16" w:rsidRPr="007B5B4C">
        <w:rPr>
          <w:rFonts w:ascii="Times New Roman" w:eastAsia="Georgia" w:hAnsi="Times New Roman" w:cs="Times New Roman"/>
        </w:rPr>
        <w:t xml:space="preserve"> associations have voluntarily initiated</w:t>
      </w:r>
      <w:r w:rsidRPr="007B5B4C">
        <w:rPr>
          <w:rFonts w:ascii="Times New Roman" w:eastAsia="Georgia" w:hAnsi="Times New Roman" w:cs="Times New Roman"/>
        </w:rPr>
        <w:t xml:space="preserve"> their own digital transformation. Residents are experimenting </w:t>
      </w:r>
      <w:r w:rsidR="00E27E16" w:rsidRPr="007B5B4C">
        <w:rPr>
          <w:rFonts w:ascii="Times New Roman" w:eastAsia="Georgia" w:hAnsi="Times New Roman" w:cs="Times New Roman"/>
        </w:rPr>
        <w:t>with</w:t>
      </w:r>
      <w:r w:rsidRPr="007B5B4C">
        <w:rPr>
          <w:rFonts w:ascii="Times New Roman" w:eastAsia="Georgia" w:hAnsi="Times New Roman" w:cs="Times New Roman"/>
        </w:rPr>
        <w:t xml:space="preserve"> many settings — digital circular notices, SNS-based communication, online meetings, community apps, disaster information sharing and drills, and digital fee management. The value of these efforts became strikingly clear during the Noto Peninsula Earthquake of January 2024. In one affected area, residents used a </w:t>
      </w:r>
      <w:proofErr w:type="spellStart"/>
      <w:r w:rsidR="00E27E16" w:rsidRPr="007B5B4C">
        <w:rPr>
          <w:rFonts w:ascii="Times New Roman" w:eastAsia="Georgia" w:hAnsi="Times New Roman" w:cs="Times New Roman"/>
        </w:rPr>
        <w:t>neighbourhood</w:t>
      </w:r>
      <w:proofErr w:type="spellEnd"/>
      <w:r w:rsidR="00E27E16" w:rsidRPr="007B5B4C">
        <w:rPr>
          <w:rFonts w:ascii="Times New Roman" w:eastAsia="Georgia" w:hAnsi="Times New Roman" w:cs="Times New Roman"/>
        </w:rPr>
        <w:t>-association</w:t>
      </w:r>
      <w:r w:rsidRPr="007B5B4C">
        <w:rPr>
          <w:rFonts w:ascii="Times New Roman" w:eastAsia="Georgia" w:hAnsi="Times New Roman" w:cs="Times New Roman"/>
        </w:rPr>
        <w:t xml:space="preserve"> app to confirm one another’s safety, share their needs, and coordinate relief supplies. Roles normally carried out by local government cannot, in a large-scale disaster, reach every corner of a community through administrative bodies already </w:t>
      </w:r>
      <w:r w:rsidR="00E27E16" w:rsidRPr="007B5B4C">
        <w:rPr>
          <w:rFonts w:ascii="Times New Roman" w:eastAsia="Georgia" w:hAnsi="Times New Roman" w:cs="Times New Roman"/>
        </w:rPr>
        <w:t>short-staffed</w:t>
      </w:r>
      <w:r w:rsidRPr="007B5B4C">
        <w:rPr>
          <w:rFonts w:ascii="Times New Roman" w:eastAsia="Georgia" w:hAnsi="Times New Roman" w:cs="Times New Roman"/>
        </w:rPr>
        <w:t xml:space="preserve"> due to population decline. What proved decisive was mutual support among residents themselves — a renewed form o</w:t>
      </w:r>
      <w:r w:rsidR="007B5B4C" w:rsidRPr="007B5B4C">
        <w:rPr>
          <w:rFonts w:ascii="Times New Roman" w:eastAsia="MS Mincho" w:hAnsi="Times New Roman" w:cs="Times New Roman"/>
        </w:rPr>
        <w:t>f</w:t>
      </w:r>
      <w:r w:rsidRPr="007B5B4C">
        <w:rPr>
          <w:rFonts w:ascii="Times New Roman" w:eastAsia="Georgia" w:hAnsi="Times New Roman" w:cs="Times New Roman"/>
        </w:rPr>
        <w:t xml:space="preserve"> community mutual aid.</w:t>
      </w:r>
    </w:p>
    <w:p w14:paraId="362045F9" w14:textId="4FA07AE1" w:rsidR="00F7180F" w:rsidRPr="007B5B4C" w:rsidRDefault="00B66982">
      <w:pPr>
        <w:spacing w:after="200" w:line="276" w:lineRule="auto"/>
        <w:jc w:val="both"/>
        <w:rPr>
          <w:rFonts w:ascii="Times New Roman" w:hAnsi="Times New Roman" w:cs="Times New Roman"/>
        </w:rPr>
      </w:pPr>
      <w:r w:rsidRPr="007B5B4C">
        <w:rPr>
          <w:rFonts w:ascii="Times New Roman" w:eastAsia="Georgia" w:hAnsi="Times New Roman" w:cs="Times New Roman"/>
        </w:rPr>
        <w:t xml:space="preserve">As this case shows, the heart of this talk is not convenience or efficiency. The essential question is which human relationships and which mechanisms of mutual support a community should protect, renew, or redesign as </w:t>
      </w:r>
      <w:proofErr w:type="spellStart"/>
      <w:r w:rsidR="007B5B4C" w:rsidRPr="007B5B4C">
        <w:rPr>
          <w:rFonts w:ascii="Times New Roman" w:eastAsia="Georgia" w:hAnsi="Times New Roman" w:cs="Times New Roman"/>
        </w:rPr>
        <w:t>digitalisation</w:t>
      </w:r>
      <w:proofErr w:type="spellEnd"/>
      <w:r w:rsidRPr="007B5B4C">
        <w:rPr>
          <w:rFonts w:ascii="Times New Roman" w:eastAsia="Georgia" w:hAnsi="Times New Roman" w:cs="Times New Roman"/>
        </w:rPr>
        <w:t xml:space="preserve"> advances. Seen through </w:t>
      </w:r>
      <w:r w:rsidR="007B5B4C" w:rsidRPr="007B5B4C">
        <w:rPr>
          <w:rFonts w:ascii="Times New Roman" w:eastAsia="Georgia" w:hAnsi="Times New Roman" w:cs="Times New Roman"/>
        </w:rPr>
        <w:t xml:space="preserve">the lens of </w:t>
      </w:r>
      <w:r w:rsidRPr="007B5B4C">
        <w:rPr>
          <w:rFonts w:ascii="Times New Roman" w:eastAsia="Georgia" w:hAnsi="Times New Roman" w:cs="Times New Roman"/>
        </w:rPr>
        <w:t xml:space="preserve">urban planning, </w:t>
      </w:r>
      <w:proofErr w:type="spellStart"/>
      <w:r w:rsidR="007B5B4C" w:rsidRPr="007B5B4C">
        <w:rPr>
          <w:rFonts w:ascii="Times New Roman" w:eastAsia="Georgia" w:hAnsi="Times New Roman" w:cs="Times New Roman"/>
        </w:rPr>
        <w:t>neighbourhood</w:t>
      </w:r>
      <w:proofErr w:type="spellEnd"/>
      <w:r w:rsidR="007B5B4C" w:rsidRPr="007B5B4C">
        <w:rPr>
          <w:rFonts w:ascii="Times New Roman" w:eastAsia="Georgia" w:hAnsi="Times New Roman" w:cs="Times New Roman"/>
        </w:rPr>
        <w:t xml:space="preserve"> associations are not merely voluntary groups but a social infrastructure that supports both daily life and, at the critical moments, the survival of residents in ageing</w:t>
      </w:r>
      <w:r w:rsidRPr="007B5B4C">
        <w:rPr>
          <w:rFonts w:ascii="Times New Roman" w:eastAsia="Georgia" w:hAnsi="Times New Roman" w:cs="Times New Roman"/>
        </w:rPr>
        <w:t xml:space="preserve"> and shrinking communities. Working alongside medical and care services, these locally grounded mutual-support systems can form an essential yet often overlooked foundation for healthy longevity in everyday life. Drawing on concrete cases from Japan, this presentation proposes design principles for community mutual support that may be transferable to other </w:t>
      </w:r>
      <w:r w:rsidR="007B5B4C" w:rsidRPr="007B5B4C">
        <w:rPr>
          <w:rFonts w:ascii="Times New Roman" w:eastAsia="Georgia" w:hAnsi="Times New Roman" w:cs="Times New Roman"/>
        </w:rPr>
        <w:t>super-ageing</w:t>
      </w:r>
      <w:r w:rsidRPr="007B5B4C">
        <w:rPr>
          <w:rFonts w:ascii="Times New Roman" w:eastAsia="Georgia" w:hAnsi="Times New Roman" w:cs="Times New Roman"/>
        </w:rPr>
        <w:t xml:space="preserve"> societies, offering a point of departure for longevity societies worldwide.</w:t>
      </w:r>
    </w:p>
    <w:p w14:paraId="362045FA" w14:textId="77777777" w:rsidR="00F7180F" w:rsidRPr="007B5B4C" w:rsidRDefault="00B66982">
      <w:pPr>
        <w:spacing w:before="80" w:after="240"/>
        <w:rPr>
          <w:rFonts w:ascii="Times New Roman" w:hAnsi="Times New Roman" w:cs="Times New Roman"/>
        </w:rPr>
      </w:pPr>
      <w:r w:rsidRPr="007B5B4C">
        <w:rPr>
          <w:rFonts w:ascii="Times New Roman" w:eastAsia="Georgia" w:hAnsi="Times New Roman" w:cs="Times New Roman"/>
          <w:b/>
          <w:bCs/>
          <w:sz w:val="18"/>
          <w:szCs w:val="18"/>
        </w:rPr>
        <w:t xml:space="preserve">Sources: </w:t>
      </w:r>
      <w:hyperlink r:id="rId5" w:history="1">
        <w:r w:rsidRPr="007B5B4C">
          <w:rPr>
            <w:rStyle w:val="Collegamentoipertestuale"/>
            <w:rFonts w:ascii="Times New Roman" w:eastAsia="Georgia" w:hAnsi="Times New Roman" w:cs="Times New Roman"/>
            <w:color w:val="auto"/>
            <w:sz w:val="18"/>
            <w:szCs w:val="18"/>
          </w:rPr>
          <w:t>Statistics Bureau of Japan, Statistical Topics No.146 (2025)</w:t>
        </w:r>
      </w:hyperlink>
      <w:r w:rsidRPr="007B5B4C">
        <w:rPr>
          <w:rFonts w:ascii="Times New Roman" w:eastAsia="Georgia" w:hAnsi="Times New Roman" w:cs="Times New Roman"/>
          <w:sz w:val="18"/>
          <w:szCs w:val="18"/>
        </w:rPr>
        <w:t xml:space="preserve">  |  </w:t>
      </w:r>
      <w:hyperlink r:id="rId6" w:history="1">
        <w:r w:rsidRPr="007B5B4C">
          <w:rPr>
            <w:rStyle w:val="Collegamentoipertestuale"/>
            <w:rFonts w:ascii="Times New Roman" w:eastAsia="Georgia" w:hAnsi="Times New Roman" w:cs="Times New Roman"/>
            <w:color w:val="auto"/>
            <w:sz w:val="18"/>
            <w:szCs w:val="18"/>
          </w:rPr>
          <w:t>Cabinet Office, Annual Report on the Ageing Society 2025</w:t>
        </w:r>
      </w:hyperlink>
    </w:p>
    <w:p w14:paraId="362045FB" w14:textId="77777777" w:rsidR="00F7180F" w:rsidRPr="007B5B4C" w:rsidRDefault="00B66982">
      <w:r w:rsidRPr="007B5B4C">
        <w:br w:type="page"/>
      </w:r>
    </w:p>
    <w:p w14:paraId="362045FC" w14:textId="77777777" w:rsidR="00F7180F" w:rsidRPr="007B5B4C" w:rsidRDefault="00B66982" w:rsidP="007B5B4C">
      <w:pPr>
        <w:spacing w:after="80"/>
        <w:jc w:val="center"/>
        <w:rPr>
          <w:rFonts w:ascii="Yu Mincho" w:eastAsia="Yu Mincho" w:hAnsi="Yu Mincho"/>
        </w:rPr>
      </w:pPr>
      <w:r w:rsidRPr="007B5B4C">
        <w:rPr>
          <w:rFonts w:ascii="Yu Mincho" w:eastAsia="Yu Mincho" w:hAnsi="Yu Mincho" w:cs="Yu Mincho"/>
          <w:b/>
          <w:bCs/>
          <w:sz w:val="34"/>
          <w:szCs w:val="34"/>
        </w:rPr>
        <w:lastRenderedPageBreak/>
        <w:t>長寿社会の都市計画</w:t>
      </w:r>
    </w:p>
    <w:p w14:paraId="362045FD" w14:textId="77777777" w:rsidR="00F7180F" w:rsidRPr="007B5B4C" w:rsidRDefault="00B66982" w:rsidP="007B5B4C">
      <w:pPr>
        <w:spacing w:after="240"/>
        <w:jc w:val="center"/>
        <w:rPr>
          <w:rFonts w:ascii="Yu Mincho" w:eastAsia="Yu Mincho" w:hAnsi="Yu Mincho"/>
        </w:rPr>
      </w:pPr>
      <w:r w:rsidRPr="007B5B4C">
        <w:rPr>
          <w:rFonts w:ascii="Yu Mincho" w:eastAsia="Yu Mincho" w:hAnsi="Yu Mincho" w:cs="Yu Mincho"/>
          <w:sz w:val="24"/>
          <w:szCs w:val="24"/>
        </w:rPr>
        <w:t>超高齢社会における地域の相互扶助システムの再構築</w:t>
      </w:r>
    </w:p>
    <w:p w14:paraId="362045FE" w14:textId="77777777" w:rsidR="00F7180F" w:rsidRPr="007B5B4C" w:rsidRDefault="00F7180F" w:rsidP="007B5B4C">
      <w:pPr>
        <w:pBdr>
          <w:bottom w:val="single" w:sz="6" w:space="4" w:color="B0B7C3"/>
        </w:pBdr>
        <w:spacing w:after="240"/>
        <w:rPr>
          <w:rFonts w:ascii="Yu Mincho" w:eastAsia="Yu Mincho" w:hAnsi="Yu Mincho"/>
        </w:rPr>
      </w:pPr>
    </w:p>
    <w:p w14:paraId="362045FF" w14:textId="77777777" w:rsidR="00F7180F" w:rsidRPr="007B5B4C" w:rsidRDefault="00B66982" w:rsidP="007B5B4C">
      <w:pPr>
        <w:spacing w:before="120" w:after="160"/>
        <w:rPr>
          <w:rFonts w:ascii="Yu Mincho" w:eastAsia="Yu Mincho" w:hAnsi="Yu Mincho"/>
        </w:rPr>
      </w:pPr>
      <w:r w:rsidRPr="007B5B4C">
        <w:rPr>
          <w:rFonts w:ascii="Yu Mincho" w:eastAsia="Yu Mincho" w:hAnsi="Yu Mincho" w:cs="Yu Mincho"/>
          <w:b/>
          <w:bCs/>
          <w:sz w:val="24"/>
          <w:szCs w:val="24"/>
        </w:rPr>
        <w:t>要旨（Abstract）</w:t>
      </w:r>
    </w:p>
    <w:p w14:paraId="36204600" w14:textId="2EDF3A7E" w:rsidR="00F7180F" w:rsidRPr="007B5B4C" w:rsidRDefault="00B66982" w:rsidP="007B5B4C">
      <w:pPr>
        <w:spacing w:after="200"/>
        <w:jc w:val="both"/>
        <w:rPr>
          <w:rFonts w:ascii="Yu Mincho" w:eastAsia="Yu Mincho" w:hAnsi="Yu Mincho"/>
        </w:rPr>
      </w:pPr>
      <w:r w:rsidRPr="007B5B4C">
        <w:rPr>
          <w:rFonts w:ascii="Yu Mincho" w:eastAsia="Yu Mincho" w:hAnsi="Yu Mincho" w:cs="Yu Mincho"/>
          <w:sz w:val="21"/>
          <w:szCs w:val="21"/>
        </w:rPr>
        <w:t>日本は、あらゆる社会がいずれ向かう未来の姿を、世界に先駆けて、かつ全面的に映し出している。総務省統計局によれば、</w:t>
      </w:r>
      <w:r w:rsidR="009D3A42">
        <w:rPr>
          <w:rFonts w:ascii="Yu Mincho" w:eastAsia="Yu Mincho" w:hAnsi="Yu Mincho" w:cs="Yu Mincho" w:hint="eastAsia"/>
          <w:sz w:val="21"/>
          <w:szCs w:val="21"/>
        </w:rPr>
        <w:t>2025</w:t>
      </w:r>
      <w:r w:rsidRPr="007B5B4C">
        <w:rPr>
          <w:rFonts w:ascii="Yu Mincho" w:eastAsia="Yu Mincho" w:hAnsi="Yu Mincho" w:cs="Yu Mincho"/>
          <w:sz w:val="21"/>
          <w:szCs w:val="21"/>
        </w:rPr>
        <w:t>年時点で総人口の29.4％が65歳以上であり、これは人口</w:t>
      </w:r>
      <w:r w:rsidR="009D3A42">
        <w:rPr>
          <w:rFonts w:ascii="Yu Mincho" w:eastAsia="Yu Mincho" w:hAnsi="Yu Mincho" w:cs="Yu Mincho" w:hint="eastAsia"/>
          <w:sz w:val="21"/>
          <w:szCs w:val="21"/>
        </w:rPr>
        <w:t>4,000</w:t>
      </w:r>
      <w:r w:rsidRPr="007B5B4C">
        <w:rPr>
          <w:rFonts w:ascii="Yu Mincho" w:eastAsia="Yu Mincho" w:hAnsi="Yu Mincho" w:cs="Yu Mincho"/>
          <w:sz w:val="21"/>
          <w:szCs w:val="21"/>
        </w:rPr>
        <w:t>万人以上の世界38カ国の中で最も高い。さらに、この割合が</w:t>
      </w:r>
      <w:r w:rsidR="009D3A42">
        <w:rPr>
          <w:rFonts w:ascii="Yu Mincho" w:eastAsia="Yu Mincho" w:hAnsi="Yu Mincho" w:cs="Yu Mincho" w:hint="eastAsia"/>
          <w:sz w:val="21"/>
          <w:szCs w:val="21"/>
        </w:rPr>
        <w:t>2040</w:t>
      </w:r>
      <w:r w:rsidRPr="007B5B4C">
        <w:rPr>
          <w:rFonts w:ascii="Yu Mincho" w:eastAsia="Yu Mincho" w:hAnsi="Yu Mincho" w:cs="Yu Mincho"/>
          <w:sz w:val="21"/>
          <w:szCs w:val="21"/>
        </w:rPr>
        <w:t>年に34.8％へ達するとの推計もある。こうした数字の陰で、地域社会の日常を支えてきた組織は静かに弱体化しつつある。何世代にもわたり、情報共有、防災、防犯、相互見守り、環境保全、自治体との連携を担ってきた町内会は、いま、会員数の減少、役員の高齢化、後継者不足、負担の偏りという課題に直面している。</w:t>
      </w:r>
    </w:p>
    <w:p w14:paraId="36204601" w14:textId="77777777" w:rsidR="00F7180F" w:rsidRPr="007B5B4C" w:rsidRDefault="00B66982" w:rsidP="007B5B4C">
      <w:pPr>
        <w:spacing w:after="200"/>
        <w:jc w:val="both"/>
        <w:rPr>
          <w:rFonts w:ascii="Yu Mincho" w:eastAsia="Yu Mincho" w:hAnsi="Yu Mincho"/>
        </w:rPr>
      </w:pPr>
      <w:r w:rsidRPr="007B5B4C">
        <w:rPr>
          <w:rFonts w:ascii="Yu Mincho" w:eastAsia="Yu Mincho" w:hAnsi="Yu Mincho" w:cs="Yu Mincho"/>
          <w:sz w:val="21"/>
          <w:szCs w:val="21"/>
        </w:rPr>
        <w:t>本講演は、この問題に都市計画および社会システム設計の観点からアプローチし、その打開策として町内会が自発的に始めたデジタル化の事例を紹介する。デジタル回覧板、SNSを活用した連絡、オンライン会議、コミュニティアプリ、災害情報の共有や防災訓練、デジタル会費管理など、住民は多様な場面で試行錯誤を重ねている。その価値が際立ったのが、２０２４年１月の能登半島地震である。被災地のある地域では、自治会アプリを用いて住民どうしが安否を確認し、困りごとを共有し、支援物資を調達しあった。平時に行政が担う役割も、大規模災害時には、人口減少で人手の限られた行政組織だけでは地域の隅々まで届かない。そこで力を発揮したのが、住民自身による相互扶助――まさに新たな「共助」のかたちであった。</w:t>
      </w:r>
    </w:p>
    <w:p w14:paraId="36204602" w14:textId="77777777" w:rsidR="00F7180F" w:rsidRPr="007B5B4C" w:rsidRDefault="00B66982" w:rsidP="007B5B4C">
      <w:pPr>
        <w:spacing w:after="200"/>
        <w:jc w:val="both"/>
        <w:rPr>
          <w:rFonts w:ascii="Yu Mincho" w:eastAsia="Yu Mincho" w:hAnsi="Yu Mincho"/>
        </w:rPr>
      </w:pPr>
      <w:r w:rsidRPr="007B5B4C">
        <w:rPr>
          <w:rFonts w:ascii="Yu Mincho" w:eastAsia="Yu Mincho" w:hAnsi="Yu Mincho" w:cs="Yu Mincho"/>
          <w:sz w:val="21"/>
          <w:szCs w:val="21"/>
        </w:rPr>
        <w:t>この事例が示すように、本講演の核心は利便性や効率性そのものにはない。デジタル化が進むなかで、地域社会はどのような人間関係を、どのような相互扶助の仕組みを、守り、再生し、あるいは再設計すべきか――この問いこそが本質である。都市計画の視点に立てば、町内会は単なる任意団体ではなく、高齢化・過疎化する地域の日常と、いざという時の命を支える社会インフラである。医療・介護サービスと連携して働くこの地域密着型の相互扶助システムは、日常における健やかな長寿を支える、不可欠でありながら見過ごされがちな基盤となりうる。本講演は、日本の具体的な事例を手がかりに、他の超高齢社会にも応用しうる共助の設計原則を提示し、世界の長寿社会への論点を提供する。</w:t>
      </w:r>
    </w:p>
    <w:p w14:paraId="36204603" w14:textId="77777777" w:rsidR="00F7180F" w:rsidRPr="007B5B4C" w:rsidRDefault="00B66982" w:rsidP="007B5B4C">
      <w:pPr>
        <w:spacing w:before="80"/>
        <w:rPr>
          <w:rFonts w:ascii="Yu Mincho" w:eastAsia="Yu Mincho" w:hAnsi="Yu Mincho"/>
        </w:rPr>
      </w:pPr>
      <w:r w:rsidRPr="007B5B4C">
        <w:rPr>
          <w:rFonts w:ascii="Yu Mincho" w:eastAsia="Yu Mincho" w:hAnsi="Yu Mincho" w:cs="Yu Mincho"/>
          <w:b/>
          <w:bCs/>
          <w:sz w:val="18"/>
          <w:szCs w:val="18"/>
        </w:rPr>
        <w:t>出典：</w:t>
      </w:r>
      <w:hyperlink r:id="rId7" w:history="1">
        <w:r w:rsidRPr="007B5B4C">
          <w:rPr>
            <w:rStyle w:val="Collegamentoipertestuale"/>
            <w:rFonts w:ascii="Yu Mincho" w:eastAsia="Yu Mincho" w:hAnsi="Yu Mincho" w:cs="Yu Mincho"/>
            <w:color w:val="auto"/>
            <w:sz w:val="18"/>
            <w:szCs w:val="18"/>
          </w:rPr>
          <w:t>総務省統計局 統計トピックスNo.146（2025年）</w:t>
        </w:r>
      </w:hyperlink>
      <w:r w:rsidRPr="007B5B4C">
        <w:rPr>
          <w:rFonts w:ascii="Yu Mincho" w:eastAsia="Yu Mincho" w:hAnsi="Yu Mincho" w:cs="Yu Mincho"/>
          <w:sz w:val="18"/>
          <w:szCs w:val="18"/>
        </w:rPr>
        <w:t xml:space="preserve">  ｜  </w:t>
      </w:r>
      <w:hyperlink r:id="rId8" w:history="1">
        <w:r w:rsidRPr="007B5B4C">
          <w:rPr>
            <w:rStyle w:val="Collegamentoipertestuale"/>
            <w:rFonts w:ascii="Yu Mincho" w:eastAsia="Yu Mincho" w:hAnsi="Yu Mincho" w:cs="Yu Mincho"/>
            <w:color w:val="auto"/>
            <w:sz w:val="18"/>
            <w:szCs w:val="18"/>
          </w:rPr>
          <w:t>内閣府 令和７年版高齢社会白書</w:t>
        </w:r>
      </w:hyperlink>
    </w:p>
    <w:sectPr w:rsidR="00F7180F" w:rsidRPr="007B5B4C">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70D71"/>
    <w:multiLevelType w:val="hybridMultilevel"/>
    <w:tmpl w:val="A7E0D1EC"/>
    <w:lvl w:ilvl="0" w:tplc="EBFE2922">
      <w:start w:val="1"/>
      <w:numFmt w:val="bullet"/>
      <w:lvlText w:val="●"/>
      <w:lvlJc w:val="left"/>
      <w:pPr>
        <w:ind w:left="720" w:hanging="360"/>
      </w:pPr>
    </w:lvl>
    <w:lvl w:ilvl="1" w:tplc="5B82EA98">
      <w:start w:val="1"/>
      <w:numFmt w:val="bullet"/>
      <w:lvlText w:val="○"/>
      <w:lvlJc w:val="left"/>
      <w:pPr>
        <w:ind w:left="1440" w:hanging="360"/>
      </w:pPr>
    </w:lvl>
    <w:lvl w:ilvl="2" w:tplc="84589C18">
      <w:start w:val="1"/>
      <w:numFmt w:val="bullet"/>
      <w:lvlText w:val="■"/>
      <w:lvlJc w:val="left"/>
      <w:pPr>
        <w:ind w:left="2160" w:hanging="360"/>
      </w:pPr>
    </w:lvl>
    <w:lvl w:ilvl="3" w:tplc="F5FC90AE">
      <w:start w:val="1"/>
      <w:numFmt w:val="bullet"/>
      <w:lvlText w:val="●"/>
      <w:lvlJc w:val="left"/>
      <w:pPr>
        <w:ind w:left="2880" w:hanging="360"/>
      </w:pPr>
    </w:lvl>
    <w:lvl w:ilvl="4" w:tplc="E99A3F0E">
      <w:start w:val="1"/>
      <w:numFmt w:val="bullet"/>
      <w:lvlText w:val="○"/>
      <w:lvlJc w:val="left"/>
      <w:pPr>
        <w:ind w:left="3600" w:hanging="360"/>
      </w:pPr>
    </w:lvl>
    <w:lvl w:ilvl="5" w:tplc="593E3102">
      <w:start w:val="1"/>
      <w:numFmt w:val="bullet"/>
      <w:lvlText w:val="■"/>
      <w:lvlJc w:val="left"/>
      <w:pPr>
        <w:ind w:left="4320" w:hanging="360"/>
      </w:pPr>
    </w:lvl>
    <w:lvl w:ilvl="6" w:tplc="8DB2858A">
      <w:start w:val="1"/>
      <w:numFmt w:val="bullet"/>
      <w:lvlText w:val="●"/>
      <w:lvlJc w:val="left"/>
      <w:pPr>
        <w:ind w:left="5040" w:hanging="360"/>
      </w:pPr>
    </w:lvl>
    <w:lvl w:ilvl="7" w:tplc="9AFE811C">
      <w:start w:val="1"/>
      <w:numFmt w:val="bullet"/>
      <w:lvlText w:val="●"/>
      <w:lvlJc w:val="left"/>
      <w:pPr>
        <w:ind w:left="5760" w:hanging="360"/>
      </w:pPr>
    </w:lvl>
    <w:lvl w:ilvl="8" w:tplc="895E4628">
      <w:start w:val="1"/>
      <w:numFmt w:val="bullet"/>
      <w:lvlText w:val="●"/>
      <w:lvlJc w:val="left"/>
      <w:pPr>
        <w:ind w:left="6480" w:hanging="360"/>
      </w:pPr>
    </w:lvl>
  </w:abstractNum>
  <w:num w:numId="1" w16cid:durableId="18806234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bordersDoNotSurroundHeader/>
  <w:bordersDoNotSurroundFooter/>
  <w:proofState w:spelling="clean" w:grammar="clean"/>
  <w:defaultTabStop w:val="84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80F"/>
    <w:rsid w:val="00201A71"/>
    <w:rsid w:val="007B5B4C"/>
    <w:rsid w:val="007C3DFB"/>
    <w:rsid w:val="009D3A42"/>
    <w:rsid w:val="00B26FB8"/>
    <w:rsid w:val="00B66982"/>
    <w:rsid w:val="00E27E16"/>
    <w:rsid w:val="00F71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62045F1"/>
  <w15:docId w15:val="{FE8BD862-FDEB-41E6-A9D6-2B6F7E038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EastAsia" w:hAnsi="Georgia" w:cs="Georgia"/>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style>
  <w:style w:type="paragraph" w:styleId="Titolo1">
    <w:name w:val="heading 1"/>
    <w:uiPriority w:val="9"/>
    <w:qFormat/>
    <w:pPr>
      <w:outlineLvl w:val="0"/>
    </w:pPr>
    <w:rPr>
      <w:color w:val="2E74B5"/>
      <w:sz w:val="32"/>
      <w:szCs w:val="32"/>
    </w:rPr>
  </w:style>
  <w:style w:type="paragraph" w:styleId="Titolo2">
    <w:name w:val="heading 2"/>
    <w:uiPriority w:val="9"/>
    <w:semiHidden/>
    <w:unhideWhenUsed/>
    <w:qFormat/>
    <w:pPr>
      <w:outlineLvl w:val="1"/>
    </w:pPr>
    <w:rPr>
      <w:color w:val="2E74B5"/>
      <w:sz w:val="26"/>
      <w:szCs w:val="26"/>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1">
    <w:name w:val="強調太字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rPr>
      <w:sz w:val="20"/>
      <w:szCs w:val="20"/>
    </w:rPr>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rPr>
      <w:sz w:val="20"/>
      <w:szCs w:val="20"/>
    </w:rPr>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8.cao.go.jp/kourei/whitepaper/w-2025/html/zenbun/s1_1_1.html" TargetMode="External"/><Relationship Id="rId3" Type="http://schemas.openxmlformats.org/officeDocument/2006/relationships/settings" Target="settings.xml"/><Relationship Id="rId7" Type="http://schemas.openxmlformats.org/officeDocument/2006/relationships/hyperlink" Target="https://www.stat.go.jp/data/topics/topi146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8.cao.go.jp/kourei/whitepaper/w-2025/html/zenbun/s1_1_1.html" TargetMode="External"/><Relationship Id="rId5" Type="http://schemas.openxmlformats.org/officeDocument/2006/relationships/hyperlink" Target="https://www.stat.go.jp/data/topics/topi146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3601</Characters>
  <Application>Microsoft Office Word</Application>
  <DocSecurity>0</DocSecurity>
  <Lines>30</Lines>
  <Paragraphs>8</Paragraphs>
  <ScaleCrop>false</ScaleCrop>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stefania.bandini@unimib.it</cp:lastModifiedBy>
  <cp:revision>2</cp:revision>
  <dcterms:created xsi:type="dcterms:W3CDTF">2026-06-30T01:23:00Z</dcterms:created>
  <dcterms:modified xsi:type="dcterms:W3CDTF">2026-06-30T01:23:00Z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2bb0a96a-d38b-44ba-acb9-dd12a5bf0ca9</vt:lpwstr>
  </property>
</Properties>
</file>