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4ED1" w14:textId="77777777" w:rsidR="008563D7" w:rsidRDefault="008563D7"/>
    <w:p w14:paraId="65C512B7" w14:textId="77777777" w:rsidR="00F71298" w:rsidRDefault="00F71298" w:rsidP="00F71298">
      <w:pPr>
        <w:jc w:val="center"/>
        <w:rPr>
          <w:b/>
          <w:bCs/>
          <w:sz w:val="28"/>
          <w:szCs w:val="32"/>
        </w:rPr>
      </w:pPr>
      <w:r w:rsidRPr="00A90BD8">
        <w:rPr>
          <w:rFonts w:hint="eastAsia"/>
          <w:b/>
          <w:bCs/>
          <w:sz w:val="28"/>
          <w:szCs w:val="32"/>
        </w:rPr>
        <w:t>T</w:t>
      </w:r>
      <w:r w:rsidRPr="00A90BD8">
        <w:rPr>
          <w:b/>
          <w:bCs/>
          <w:sz w:val="28"/>
          <w:szCs w:val="32"/>
        </w:rPr>
        <w:t>owards World Longevity Summit 2027: from Kyotango to Salsomaggiore Terme</w:t>
      </w:r>
    </w:p>
    <w:p w14:paraId="546BF64F" w14:textId="77777777" w:rsidR="00F71298" w:rsidRDefault="00F71298" w:rsidP="00F71298">
      <w:pPr>
        <w:jc w:val="center"/>
        <w:rPr>
          <w:b/>
          <w:bCs/>
          <w:sz w:val="28"/>
          <w:szCs w:val="32"/>
        </w:rPr>
      </w:pPr>
      <w:r>
        <w:rPr>
          <w:rFonts w:hint="eastAsia"/>
          <w:b/>
          <w:bCs/>
          <w:sz w:val="28"/>
          <w:szCs w:val="32"/>
        </w:rPr>
        <w:t>Satoaki Matoba</w:t>
      </w:r>
    </w:p>
    <w:p w14:paraId="4CD509E4" w14:textId="77777777" w:rsidR="00F71298" w:rsidRDefault="00F71298" w:rsidP="00F71298">
      <w:pPr>
        <w:jc w:val="center"/>
        <w:rPr>
          <w:b/>
          <w:bCs/>
          <w:sz w:val="28"/>
          <w:szCs w:val="32"/>
        </w:rPr>
      </w:pPr>
      <w:r>
        <w:rPr>
          <w:rFonts w:hint="eastAsia"/>
          <w:b/>
          <w:bCs/>
          <w:sz w:val="28"/>
          <w:szCs w:val="32"/>
        </w:rPr>
        <w:t>Vice President, Professor, Kyoto Prefectural University of Medicine</w:t>
      </w:r>
    </w:p>
    <w:p w14:paraId="2F1A9794" w14:textId="77777777" w:rsidR="00F71298" w:rsidRPr="00F71298" w:rsidRDefault="00F71298"/>
    <w:p w14:paraId="4175B5E1" w14:textId="08B6C485" w:rsidR="00F71298" w:rsidRPr="00F71298" w:rsidRDefault="00F71298" w:rsidP="00F71298">
      <w:r w:rsidRPr="00F71298">
        <w:t>Aging societies around the world are facing growing challenges in promoting healthy longevity. Japan, one of the most rapidly aging countries, currently has one of the highest proportions of older adults worldwide. As of 2025, nearly 30% of the Japanese population is aged 65 years or older, and this proportion is expected to increase further in the coming decades.</w:t>
      </w:r>
      <w:r w:rsidRPr="00F71298">
        <w:rPr>
          <w:rFonts w:ascii="Times New Roman" w:eastAsia="Georgia" w:hAnsi="Times New Roman" w:cs="Times New Roman"/>
          <w:kern w:val="0"/>
          <w:sz w:val="28"/>
          <w:szCs w:val="28"/>
        </w:rPr>
        <w:t xml:space="preserve"> </w:t>
      </w:r>
    </w:p>
    <w:p w14:paraId="5BCF4850" w14:textId="01A6E931" w:rsidR="00F71298" w:rsidRPr="00F71298" w:rsidRDefault="00F71298" w:rsidP="00F71298">
      <w:r w:rsidRPr="00CA63DF">
        <w:rPr>
          <w:rFonts w:ascii="Times New Roman" w:eastAsia="Georgia" w:hAnsi="Times New Roman" w:cs="Times New Roman"/>
          <w:kern w:val="0"/>
          <w:sz w:val="28"/>
          <w:szCs w:val="28"/>
        </w:rPr>
        <mc:AlternateContent>
          <mc:Choice Requires="wps">
            <w:drawing>
              <wp:anchor distT="0" distB="0" distL="114300" distR="114300" simplePos="0" relativeHeight="251660288" behindDoc="1" locked="0" layoutInCell="1" allowOverlap="1" wp14:anchorId="004A8A3F" wp14:editId="2B157252">
                <wp:simplePos x="0" y="0"/>
                <wp:positionH relativeFrom="margin">
                  <wp:posOffset>2273300</wp:posOffset>
                </wp:positionH>
                <wp:positionV relativeFrom="paragraph">
                  <wp:posOffset>3197860</wp:posOffset>
                </wp:positionV>
                <wp:extent cx="4591050" cy="508000"/>
                <wp:effectExtent l="0" t="0" r="0" b="6350"/>
                <wp:wrapTight wrapText="bothSides">
                  <wp:wrapPolygon edited="0">
                    <wp:start x="0" y="0"/>
                    <wp:lineTo x="0" y="21060"/>
                    <wp:lineTo x="21510" y="21060"/>
                    <wp:lineTo x="21510" y="0"/>
                    <wp:lineTo x="0" y="0"/>
                  </wp:wrapPolygon>
                </wp:wrapTight>
                <wp:docPr id="1510109755" name="テキスト ボックス 1"/>
                <wp:cNvGraphicFramePr/>
                <a:graphic xmlns:a="http://schemas.openxmlformats.org/drawingml/2006/main">
                  <a:graphicData uri="http://schemas.microsoft.com/office/word/2010/wordprocessingShape">
                    <wps:wsp>
                      <wps:cNvSpPr txBox="1"/>
                      <wps:spPr>
                        <a:xfrm>
                          <a:off x="0" y="0"/>
                          <a:ext cx="4591050" cy="508000"/>
                        </a:xfrm>
                        <a:prstGeom prst="rect">
                          <a:avLst/>
                        </a:prstGeom>
                        <a:solidFill>
                          <a:prstClr val="white"/>
                        </a:solidFill>
                        <a:ln>
                          <a:noFill/>
                        </a:ln>
                      </wps:spPr>
                      <wps:txbx>
                        <w:txbxContent>
                          <w:p w14:paraId="0CE0A81B" w14:textId="77777777" w:rsidR="00F71298" w:rsidRDefault="00F71298" w:rsidP="00F71298">
                            <w:pPr>
                              <w:pStyle w:val="aa"/>
                            </w:pPr>
                            <w:r w:rsidRPr="001B32EC">
                              <w:t xml:space="preserve">Fig.1 Four pillars of the Declaration from the 1st World Longevity Summit. </w:t>
                            </w:r>
                          </w:p>
                          <w:p w14:paraId="219DB9F3" w14:textId="77777777" w:rsidR="00F71298" w:rsidRPr="00CA63DF" w:rsidRDefault="00F71298" w:rsidP="00F71298">
                            <w:pPr>
                              <w:rPr>
                                <w:rFonts w:hint="eastAsia"/>
                                <w:b/>
                                <w:bCs/>
                                <w:szCs w:val="21"/>
                              </w:rPr>
                            </w:pPr>
                            <w:r>
                              <w:rPr>
                                <w:rFonts w:hint="eastAsia"/>
                                <w:b/>
                                <w:bCs/>
                                <w:szCs w:val="21"/>
                              </w:rPr>
                              <w:t>(</w:t>
                            </w:r>
                            <w:r w:rsidRPr="00CA63DF">
                              <w:rPr>
                                <w:b/>
                                <w:bCs/>
                                <w:szCs w:val="21"/>
                              </w:rPr>
                              <w:t>NPJ Aging. 2025 Nov 18;11(1):89.</w:t>
                            </w:r>
                            <w:r>
                              <w:rPr>
                                <w:rFonts w:hint="eastAsia"/>
                                <w:b/>
                                <w:bCs/>
                                <w:szCs w:val="21"/>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4A8A3F" id="_x0000_t202" coordsize="21600,21600" o:spt="202" path="m,l,21600r21600,l21600,xe">
                <v:stroke joinstyle="miter"/>
                <v:path gradientshapeok="t" o:connecttype="rect"/>
              </v:shapetype>
              <v:shape id="テキスト ボックス 1" o:spid="_x0000_s1026" type="#_x0000_t202" style="position:absolute;left:0;text-align:left;margin-left:179pt;margin-top:251.8pt;width:361.5pt;height:4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" stroked="f">
                <v:textbox inset="0,0,0,0">
                  <w:txbxContent>
                    <w:p w14:paraId="0CE0A81B" w14:textId="77777777" w:rsidR="00F71298" w:rsidRDefault="00F71298" w:rsidP="00F71298">
                      <w:pPr>
                        <w:pStyle w:val="aa"/>
                      </w:pPr>
                      <w:r w:rsidRPr="001B32EC">
                        <w:t xml:space="preserve">Fig.1 Four pillars of the Declaration from the 1st World Longevity Summit. </w:t>
                      </w:r>
                    </w:p>
                    <w:p w14:paraId="219DB9F3" w14:textId="77777777" w:rsidR="00F71298" w:rsidRPr="00CA63DF" w:rsidRDefault="00F71298" w:rsidP="00F71298">
                      <w:pPr>
                        <w:rPr>
                          <w:rFonts w:hint="eastAsia"/>
                          <w:b/>
                          <w:bCs/>
                          <w:szCs w:val="21"/>
                        </w:rPr>
                      </w:pPr>
                      <w:r>
                        <w:rPr>
                          <w:rFonts w:hint="eastAsia"/>
                          <w:b/>
                          <w:bCs/>
                          <w:szCs w:val="21"/>
                        </w:rPr>
                        <w:t>(</w:t>
                      </w:r>
                      <w:r w:rsidRPr="00CA63DF">
                        <w:rPr>
                          <w:b/>
                          <w:bCs/>
                          <w:szCs w:val="21"/>
                        </w:rPr>
                        <w:t>NPJ Aging. 2025 Nov 18;11(1):89.</w:t>
                      </w:r>
                      <w:r>
                        <w:rPr>
                          <w:rFonts w:hint="eastAsia"/>
                          <w:b/>
                          <w:bCs/>
                          <w:szCs w:val="21"/>
                        </w:rPr>
                        <w:t>)</w:t>
                      </w:r>
                    </w:p>
                  </w:txbxContent>
                </v:textbox>
                <w10:wrap type="tight" anchorx="margin"/>
              </v:shape>
            </w:pict>
          </mc:Fallback>
        </mc:AlternateContent>
      </w:r>
      <w:r w:rsidRPr="00CA63DF">
        <w:rPr>
          <w:rFonts w:ascii="Times New Roman" w:eastAsia="Georgia" w:hAnsi="Times New Roman" w:cs="Times New Roman"/>
          <w:kern w:val="0"/>
          <w:sz w:val="28"/>
          <w:szCs w:val="28"/>
        </w:rPr>
        <w:drawing>
          <wp:anchor distT="0" distB="0" distL="114300" distR="114300" simplePos="0" relativeHeight="251659264" behindDoc="1" locked="0" layoutInCell="1" allowOverlap="1" wp14:anchorId="240E63EF" wp14:editId="72B87322">
            <wp:simplePos x="0" y="0"/>
            <wp:positionH relativeFrom="column">
              <wp:posOffset>2280920</wp:posOffset>
            </wp:positionH>
            <wp:positionV relativeFrom="paragraph">
              <wp:posOffset>17780</wp:posOffset>
            </wp:positionV>
            <wp:extent cx="4678680" cy="3079750"/>
            <wp:effectExtent l="19050" t="19050" r="26670" b="25400"/>
            <wp:wrapSquare wrapText="bothSides"/>
            <wp:docPr id="1026482986" name="コンテンツ プレースホルダー 4">
              <a:extLst xmlns:a="http://schemas.openxmlformats.org/drawingml/2006/main">
                <a:ext uri="{FF2B5EF4-FFF2-40B4-BE49-F238E27FC236}">
                  <a16:creationId xmlns:a16="http://schemas.microsoft.com/office/drawing/2014/main" id="{13FAC931-21E3-DA84-CA45-0B7B2E34324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コンテンツ プレースホルダー 4">
                      <a:extLst>
                        <a:ext uri="{FF2B5EF4-FFF2-40B4-BE49-F238E27FC236}">
                          <a16:creationId xmlns:a16="http://schemas.microsoft.com/office/drawing/2014/main" id="{13FAC931-21E3-DA84-CA45-0B7B2E34324D}"/>
                        </a:ext>
                      </a:extLst>
                    </pic:cNvPr>
                    <pic:cNvPicPr>
                      <a:picLocks noGrp="1"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4678680" cy="3079750"/>
                    </a:xfrm>
                    <a:prstGeom prst="rect">
                      <a:avLst/>
                    </a:prstGeom>
                    <a:ln w="19050">
                      <a:solidFill>
                        <a:schemeClr val="tx1"/>
                      </a:solidFill>
                    </a:ln>
                  </pic:spPr>
                </pic:pic>
              </a:graphicData>
            </a:graphic>
            <wp14:sizeRelH relativeFrom="margin">
              <wp14:pctWidth>0</wp14:pctWidth>
            </wp14:sizeRelH>
            <wp14:sizeRelV relativeFrom="margin">
              <wp14:pctHeight>0</wp14:pctHeight>
            </wp14:sizeRelV>
          </wp:anchor>
        </w:drawing>
      </w:r>
      <w:r w:rsidRPr="00F71298">
        <w:t>Within Japan, the Kyotango region in northern Kyoto Prefecture has attracted considerable attention as a model of healthy longevity associated with high levels of well-being and happiness. The prevalence of centenarians in Kyotango is nearly three times the national average. Several factors are thought to contribute to this remarkable longevity, including strong social cohesion, plant-forward dietary habits, regular daily physical activity, and a rich sense of cultural identity. These characteristics make Kyotango an important setting for exploring strategies to promote healthy aging.</w:t>
      </w:r>
    </w:p>
    <w:p w14:paraId="3A15FB28" w14:textId="77777777" w:rsidR="00F71298" w:rsidRPr="00F71298" w:rsidRDefault="00F71298" w:rsidP="00F71298">
      <w:r w:rsidRPr="00F71298">
        <w:t>Inspired by these regional strengths, the 1st World Longevity Summit was held in Kyotango, bringing together leading experts from around the world. The summit featured 28 presentations covering basic science, clinical medicine, public health, culture, and community initiatives, with the aim of sharing cutting-edge research findings and practical approaches to healthy aging. The resulting declaration identified four key pillars of healthy longevity: communication and social bonds, dietary fiber intake, physical activity, and “Ikigai,” or a sense of purpose in life (Fig. 1).</w:t>
      </w:r>
    </w:p>
    <w:p w14:paraId="7850FC0E" w14:textId="22456B0D" w:rsidR="00F71298" w:rsidRDefault="00F71298" w:rsidP="00F71298">
      <w:r w:rsidRPr="00F71298">
        <w:t>Building upon the legacy of the 2025 Declaration, the 2nd World Longevity Summit, to be held in Italy in 2027, will further expand this international platform for collaboration and innovation. Italy, with its rich cultural heritage, strong community traditions, renowned Mediterranean lifestyle, and growing commitment to longevity research and healthy aging policies, represents a natural bridge between scientific excellence and the human-centered dimensions of longevity. In this presentation, I will introduce the achievements of the 1st World Longevity Summit and discuss how we can jointly shape the vision and scientific agenda of the 2nd World Longevity Summit in Italy.</w:t>
      </w:r>
    </w:p>
    <w:p w14:paraId="0190C3CC" w14:textId="77777777" w:rsidR="00F71298" w:rsidRDefault="00F71298" w:rsidP="00F71298"/>
    <w:p w14:paraId="7E8B4EB9" w14:textId="77777777" w:rsidR="00F71298" w:rsidRDefault="00F71298" w:rsidP="00F71298"/>
    <w:p w14:paraId="67251584" w14:textId="77777777" w:rsidR="00F71298" w:rsidRDefault="00F71298" w:rsidP="00F71298"/>
    <w:p w14:paraId="589AF41C" w14:textId="77777777" w:rsidR="00F71298" w:rsidRDefault="00F71298" w:rsidP="00F71298"/>
    <w:p w14:paraId="7FA2A8EB" w14:textId="77777777" w:rsidR="00F71298" w:rsidRDefault="00F71298" w:rsidP="00F71298"/>
    <w:p w14:paraId="112D0D3B" w14:textId="77777777" w:rsidR="00F71298" w:rsidRDefault="00F71298" w:rsidP="00F71298">
      <w:pPr>
        <w:rPr>
          <w:rFonts w:hint="eastAsia"/>
        </w:rPr>
      </w:pPr>
    </w:p>
    <w:p w14:paraId="1A064A53" w14:textId="77777777" w:rsidR="00F71298" w:rsidRDefault="00F71298" w:rsidP="00F71298"/>
    <w:p w14:paraId="77ABE76D" w14:textId="77777777" w:rsidR="00F71298" w:rsidRDefault="00F71298" w:rsidP="00F71298"/>
    <w:p w14:paraId="38FA5C79" w14:textId="77777777" w:rsidR="00F71298" w:rsidRPr="00F71298" w:rsidRDefault="00F71298" w:rsidP="00F71298">
      <w:pPr>
        <w:jc w:val="center"/>
        <w:rPr>
          <w:b/>
          <w:bCs/>
          <w:sz w:val="28"/>
          <w:szCs w:val="32"/>
        </w:rPr>
      </w:pPr>
      <w:r w:rsidRPr="00F71298">
        <w:rPr>
          <w:b/>
          <w:bCs/>
          <w:sz w:val="28"/>
          <w:szCs w:val="32"/>
        </w:rPr>
        <w:t>世界長寿サミット2027に向けて：京丹後からサルソマッジョーレ・テルメへ</w:t>
      </w:r>
    </w:p>
    <w:p w14:paraId="77BA64B9" w14:textId="77777777" w:rsidR="00F71298" w:rsidRPr="00F71298" w:rsidRDefault="00F71298" w:rsidP="00F71298">
      <w:pPr>
        <w:jc w:val="center"/>
        <w:rPr>
          <w:sz w:val="28"/>
          <w:szCs w:val="32"/>
        </w:rPr>
      </w:pPr>
      <w:r w:rsidRPr="00F71298">
        <w:rPr>
          <w:b/>
          <w:bCs/>
          <w:sz w:val="28"/>
          <w:szCs w:val="32"/>
        </w:rPr>
        <w:t>的場 聖明</w:t>
      </w:r>
      <w:r w:rsidRPr="00F71298">
        <w:rPr>
          <w:sz w:val="28"/>
          <w:szCs w:val="32"/>
        </w:rPr>
        <w:br/>
        <w:t>京都府立医科大学 副学長・教授</w:t>
      </w:r>
    </w:p>
    <w:p w14:paraId="174E8ED6" w14:textId="77777777" w:rsidR="00F71298" w:rsidRPr="00F71298" w:rsidRDefault="00F71298" w:rsidP="00F71298">
      <w:pPr>
        <w:rPr>
          <w:rFonts w:hint="eastAsia"/>
        </w:rPr>
      </w:pPr>
    </w:p>
    <w:p w14:paraId="44B6F415" w14:textId="128A5437" w:rsidR="00F71298" w:rsidRPr="00F71298" w:rsidRDefault="00F71298" w:rsidP="00F71298">
      <w:r w:rsidRPr="00F71298">
        <w:t>世界各国の高齢化社会は、健康長寿をいかに実現するかという共通の課題に直面しています。とりわけ日本は世界でも最も急速に高齢化が進む国の一つであり、2025年時点で総人口の約30％が65歳以上を占めています。この割合は今後数十年にわたり、さらに増加すると予測されています。</w:t>
      </w:r>
    </w:p>
    <w:p w14:paraId="39BEB29B" w14:textId="6CC03F88" w:rsidR="00F71298" w:rsidRPr="00F71298" w:rsidRDefault="00541984" w:rsidP="00F71298">
      <w:r w:rsidRPr="00CA63DF">
        <w:rPr>
          <w:rFonts w:ascii="Times New Roman" w:eastAsia="Georgia" w:hAnsi="Times New Roman" w:cs="Times New Roman"/>
          <w:kern w:val="0"/>
          <w:sz w:val="28"/>
          <w:szCs w:val="28"/>
        </w:rPr>
        <mc:AlternateContent>
          <mc:Choice Requires="wps">
            <w:drawing>
              <wp:anchor distT="0" distB="0" distL="114300" distR="114300" simplePos="0" relativeHeight="251663360" behindDoc="1" locked="0" layoutInCell="1" allowOverlap="1" wp14:anchorId="51DA1764" wp14:editId="2A72F92E">
                <wp:simplePos x="0" y="0"/>
                <wp:positionH relativeFrom="margin">
                  <wp:posOffset>2008505</wp:posOffset>
                </wp:positionH>
                <wp:positionV relativeFrom="paragraph">
                  <wp:posOffset>3500120</wp:posOffset>
                </wp:positionV>
                <wp:extent cx="5035550" cy="215900"/>
                <wp:effectExtent l="0" t="0" r="0" b="0"/>
                <wp:wrapTight wrapText="bothSides">
                  <wp:wrapPolygon edited="0">
                    <wp:start x="0" y="0"/>
                    <wp:lineTo x="0" y="19059"/>
                    <wp:lineTo x="21491" y="19059"/>
                    <wp:lineTo x="21491" y="0"/>
                    <wp:lineTo x="0" y="0"/>
                  </wp:wrapPolygon>
                </wp:wrapTight>
                <wp:docPr id="1399575641" name="テキスト ボックス 1"/>
                <wp:cNvGraphicFramePr/>
                <a:graphic xmlns:a="http://schemas.openxmlformats.org/drawingml/2006/main">
                  <a:graphicData uri="http://schemas.microsoft.com/office/word/2010/wordprocessingShape">
                    <wps:wsp>
                      <wps:cNvSpPr txBox="1"/>
                      <wps:spPr>
                        <a:xfrm>
                          <a:off x="0" y="0"/>
                          <a:ext cx="5035550" cy="215900"/>
                        </a:xfrm>
                        <a:prstGeom prst="rect">
                          <a:avLst/>
                        </a:prstGeom>
                        <a:solidFill>
                          <a:prstClr val="white"/>
                        </a:solidFill>
                        <a:ln>
                          <a:noFill/>
                        </a:ln>
                      </wps:spPr>
                      <wps:txbx>
                        <w:txbxContent>
                          <w:p w14:paraId="6234B0CB" w14:textId="14429AA7" w:rsidR="00F71298" w:rsidRPr="00541984" w:rsidRDefault="00F71298" w:rsidP="00541984">
                            <w:pPr>
                              <w:pStyle w:val="aa"/>
                              <w:rPr>
                                <w:rFonts w:hint="eastAsia"/>
                              </w:rPr>
                            </w:pPr>
                            <w:r>
                              <w:rPr>
                                <w:rFonts w:hint="eastAsia"/>
                              </w:rPr>
                              <w:t>図</w:t>
                            </w:r>
                            <w:r w:rsidRPr="001B32EC">
                              <w:t xml:space="preserve">1 </w:t>
                            </w:r>
                            <w:r w:rsidRPr="00F71298">
                              <w:rPr>
                                <w:rFonts w:hint="eastAsia"/>
                              </w:rPr>
                              <w:t>第1回世界長寿サミット宣言の4つの柱</w:t>
                            </w:r>
                            <w:r w:rsidR="00541984">
                              <w:rPr>
                                <w:rFonts w:hint="eastAsia"/>
                              </w:rPr>
                              <w:t>（</w:t>
                            </w:r>
                            <w:r w:rsidRPr="00CA63DF">
                              <w:rPr>
                                <w:b w:val="0"/>
                                <w:bCs w:val="0"/>
                              </w:rPr>
                              <w:t>NPJ Aging. 2025 Nov 18;11(1):89.</w:t>
                            </w:r>
                            <w:r>
                              <w:rPr>
                                <w:rFonts w:hint="eastAsia"/>
                                <w:b w:val="0"/>
                                <w:bCs w:val="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DA1764" id="_x0000_s1027" type="#_x0000_t202" style="position:absolute;left:0;text-align:left;margin-left:158.15pt;margin-top:275.6pt;width:396.5pt;height:17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" stroked="f">
                <v:textbox inset="0,0,0,0">
                  <w:txbxContent>
                    <w:p w14:paraId="6234B0CB" w14:textId="14429AA7" w:rsidR="00F71298" w:rsidRPr="00541984" w:rsidRDefault="00F71298" w:rsidP="00541984">
                      <w:pPr>
                        <w:pStyle w:val="aa"/>
                        <w:rPr>
                          <w:rFonts w:hint="eastAsia"/>
                        </w:rPr>
                      </w:pPr>
                      <w:r>
                        <w:rPr>
                          <w:rFonts w:hint="eastAsia"/>
                        </w:rPr>
                        <w:t>図</w:t>
                      </w:r>
                      <w:r w:rsidRPr="001B32EC">
                        <w:t xml:space="preserve">1 </w:t>
                      </w:r>
                      <w:r w:rsidRPr="00F71298">
                        <w:rPr>
                          <w:rFonts w:hint="eastAsia"/>
                        </w:rPr>
                        <w:t>第1回世界長寿サミット宣言の4つの柱</w:t>
                      </w:r>
                      <w:r w:rsidR="00541984">
                        <w:rPr>
                          <w:rFonts w:hint="eastAsia"/>
                        </w:rPr>
                        <w:t>（</w:t>
                      </w:r>
                      <w:r w:rsidRPr="00CA63DF">
                        <w:rPr>
                          <w:b w:val="0"/>
                          <w:bCs w:val="0"/>
                        </w:rPr>
                        <w:t>NPJ Aging. 2025 Nov 18;11(1):89.</w:t>
                      </w:r>
                      <w:r>
                        <w:rPr>
                          <w:rFonts w:hint="eastAsia"/>
                          <w:b w:val="0"/>
                          <w:bCs w:val="0"/>
                        </w:rPr>
                        <w:t>)</w:t>
                      </w:r>
                    </w:p>
                  </w:txbxContent>
                </v:textbox>
                <w10:wrap type="tight" anchorx="margin"/>
              </v:shape>
            </w:pict>
          </mc:Fallback>
        </mc:AlternateContent>
      </w:r>
      <w:r w:rsidRPr="00CA63DF">
        <w:rPr>
          <w:rFonts w:ascii="Times New Roman" w:eastAsia="Georgia" w:hAnsi="Times New Roman" w:cs="Times New Roman"/>
          <w:kern w:val="0"/>
          <w:sz w:val="28"/>
          <w:szCs w:val="28"/>
        </w:rPr>
        <w:drawing>
          <wp:anchor distT="0" distB="0" distL="114300" distR="114300" simplePos="0" relativeHeight="251662336" behindDoc="1" locked="0" layoutInCell="1" allowOverlap="1" wp14:anchorId="3DD44FA7" wp14:editId="4B2FA3C3">
            <wp:simplePos x="0" y="0"/>
            <wp:positionH relativeFrom="column">
              <wp:posOffset>1954530</wp:posOffset>
            </wp:positionH>
            <wp:positionV relativeFrom="paragraph">
              <wp:posOffset>66675</wp:posOffset>
            </wp:positionV>
            <wp:extent cx="5132070" cy="3378200"/>
            <wp:effectExtent l="19050" t="19050" r="11430" b="12700"/>
            <wp:wrapSquare wrapText="bothSides"/>
            <wp:docPr id="508334761" name="コンテンツ プレースホルダー 4">
              <a:extLst xmlns:a="http://schemas.openxmlformats.org/drawingml/2006/main">
                <a:ext uri="{FF2B5EF4-FFF2-40B4-BE49-F238E27FC236}">
                  <a16:creationId xmlns:a16="http://schemas.microsoft.com/office/drawing/2014/main" id="{13FAC931-21E3-DA84-CA45-0B7B2E34324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コンテンツ プレースホルダー 4">
                      <a:extLst>
                        <a:ext uri="{FF2B5EF4-FFF2-40B4-BE49-F238E27FC236}">
                          <a16:creationId xmlns:a16="http://schemas.microsoft.com/office/drawing/2014/main" id="{13FAC931-21E3-DA84-CA45-0B7B2E34324D}"/>
                        </a:ext>
                      </a:extLst>
                    </pic:cNvPr>
                    <pic:cNvPicPr>
                      <a:picLocks noGrp="1"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32070" cy="3378200"/>
                    </a:xfrm>
                    <a:prstGeom prst="rect">
                      <a:avLst/>
                    </a:prstGeom>
                    <a:ln w="19050">
                      <a:solidFill>
                        <a:schemeClr val="tx1"/>
                      </a:solidFill>
                    </a:ln>
                  </pic:spPr>
                </pic:pic>
              </a:graphicData>
            </a:graphic>
            <wp14:sizeRelH relativeFrom="margin">
              <wp14:pctWidth>0</wp14:pctWidth>
            </wp14:sizeRelH>
            <wp14:sizeRelV relativeFrom="margin">
              <wp14:pctHeight>0</wp14:pctHeight>
            </wp14:sizeRelV>
          </wp:anchor>
        </w:drawing>
      </w:r>
      <w:r w:rsidR="00F71298" w:rsidRPr="00F71298">
        <w:t>そのような日本において、京都府北部の京丹後地域は、高い幸福感とウェルビーイングを伴う健康長寿のモデル地域として大きな注目を集めています。京丹後市における百寿者の割合は全国平均のおよそ3倍に達しています。この顕著な長寿には、強い地域コミュニティのつながり、植物性食品を中心とした食習慣、日常的な身体活動、そして豊かな文化的アイデンティティなど、さまざまな要因が寄与していると考えられています。これらの特徴</w:t>
      </w:r>
      <w:r>
        <w:rPr>
          <w:rFonts w:hint="eastAsia"/>
        </w:rPr>
        <w:t>から</w:t>
      </w:r>
      <w:r w:rsidR="00F71298" w:rsidRPr="00F71298">
        <w:t>、健康的な加齢を促進するための戦略を探求する上で、京丹後</w:t>
      </w:r>
      <w:r>
        <w:rPr>
          <w:rFonts w:hint="eastAsia"/>
        </w:rPr>
        <w:t>地域は、</w:t>
      </w:r>
      <w:r w:rsidR="00F71298" w:rsidRPr="00F71298">
        <w:t>極めて重要なフィールドと</w:t>
      </w:r>
      <w:r>
        <w:rPr>
          <w:rFonts w:hint="eastAsia"/>
        </w:rPr>
        <w:t>考えられ</w:t>
      </w:r>
      <w:r w:rsidR="00F71298" w:rsidRPr="00F71298">
        <w:t>ます。</w:t>
      </w:r>
    </w:p>
    <w:p w14:paraId="63D6AA24" w14:textId="77777777" w:rsidR="00F71298" w:rsidRPr="00F71298" w:rsidRDefault="00F71298" w:rsidP="00F71298">
      <w:r w:rsidRPr="00F71298">
        <w:t>こうした地域の強みを背景として、第1回世界長寿サミットが京丹後で開催され、世界各国から第一線の研究者・専門家が集いました。本サミットでは、基礎医学、臨床医学、公衆衛生学、文化、地域社会の取り組みなど多岐にわたる分野から28題の講演が行われ、健康長寿に関する最先端の研究成果と実践的なアプローチが共有されました。その成果として採択された共同宣言では、健康長寿を支える4つの柱として、「コミュニケーションと人とのつながり」、「食物繊維摂取」、「身体活動」、そして人生の目的や生きる意味を表す「生きがい（Ikigai）」が提唱されました（図1）。</w:t>
      </w:r>
    </w:p>
    <w:p w14:paraId="3D4A0C02" w14:textId="77777777" w:rsidR="00F71298" w:rsidRPr="00F71298" w:rsidRDefault="00F71298" w:rsidP="00F71298">
      <w:r w:rsidRPr="00F71298">
        <w:t>2025年宣言の成果を継承し、2027年にイタリアで開催される第2回世界長寿サミットでは、この国際的な協働とイノベーションのプラットフォームをさらに発展させていく予定です。豊かな文化遺産、強固な地域コミュニティの伝統、世界的に知られる地中海型ライフスタイル、そして長寿研究や健康長寿政策への取り組みを進めるイタリアは、科学的卓越性と人間中心の長寿の価値観とを結びつける理想的な架け橋となるでしょう。</w:t>
      </w:r>
    </w:p>
    <w:p w14:paraId="33EDE115" w14:textId="63B7BFE3" w:rsidR="00F71298" w:rsidRPr="00F71298" w:rsidRDefault="00F71298" w:rsidP="00F71298">
      <w:pPr>
        <w:rPr>
          <w:rFonts w:hint="eastAsia"/>
        </w:rPr>
      </w:pPr>
      <w:r w:rsidRPr="00F71298">
        <w:t>本講演では、第1回世界長寿サミットの成果を紹介するとともに、第2回世界長寿サミットに向けて、日本とイタリアが協働して、新たな健康長寿社会の国際モデルを創出する道筋を議論したい</w:t>
      </w:r>
      <w:r>
        <w:rPr>
          <w:rFonts w:hint="eastAsia"/>
        </w:rPr>
        <w:t>と考えています。</w:t>
      </w:r>
    </w:p>
    <w:p w14:paraId="0548A901" w14:textId="77777777" w:rsidR="00F71298" w:rsidRPr="00F71298" w:rsidRDefault="00F71298" w:rsidP="00F71298">
      <w:pPr>
        <w:rPr>
          <w:rFonts w:hint="eastAsia"/>
        </w:rPr>
      </w:pPr>
    </w:p>
    <w:p w14:paraId="6BD0D931" w14:textId="77777777" w:rsidR="00F71298" w:rsidRPr="00F71298" w:rsidRDefault="00F71298">
      <w:pPr>
        <w:rPr>
          <w:rFonts w:hint="eastAsia"/>
        </w:rPr>
      </w:pPr>
    </w:p>
    <w:sectPr w:rsidR="00F71298" w:rsidRPr="00F71298" w:rsidSect="00F71298">
      <w:pgSz w:w="11906" w:h="16838" w:code="9"/>
      <w:pgMar w:top="851" w:right="567" w:bottom="851" w:left="567" w:header="720" w:footer="720" w:gutter="0"/>
      <w:paperSrc w:first="7" w:other="7"/>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298"/>
    <w:rsid w:val="00150066"/>
    <w:rsid w:val="00541984"/>
    <w:rsid w:val="00687B3B"/>
    <w:rsid w:val="008563D7"/>
    <w:rsid w:val="00B023C1"/>
    <w:rsid w:val="00B16446"/>
    <w:rsid w:val="00F712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3A3E399"/>
  <w15:chartTrackingRefBased/>
  <w15:docId w15:val="{26867404-5799-40BD-956A-9012D59B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7129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7129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7129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7129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7129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7129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7129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7129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7129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7129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7129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7129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7129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7129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7129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7129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7129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7129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7129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7129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7129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7129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71298"/>
    <w:pPr>
      <w:spacing w:before="160" w:after="160"/>
      <w:jc w:val="center"/>
    </w:pPr>
    <w:rPr>
      <w:i/>
      <w:iCs/>
      <w:color w:val="404040" w:themeColor="text1" w:themeTint="BF"/>
    </w:rPr>
  </w:style>
  <w:style w:type="character" w:customStyle="1" w:styleId="a8">
    <w:name w:val="引用文 (文字)"/>
    <w:basedOn w:val="a0"/>
    <w:link w:val="a7"/>
    <w:uiPriority w:val="29"/>
    <w:rsid w:val="00F71298"/>
    <w:rPr>
      <w:i/>
      <w:iCs/>
      <w:color w:val="404040" w:themeColor="text1" w:themeTint="BF"/>
    </w:rPr>
  </w:style>
  <w:style w:type="paragraph" w:styleId="a9">
    <w:name w:val="List Paragraph"/>
    <w:basedOn w:val="a"/>
    <w:uiPriority w:val="34"/>
    <w:qFormat/>
    <w:rsid w:val="00F71298"/>
    <w:pPr>
      <w:ind w:left="720"/>
      <w:contextualSpacing/>
    </w:pPr>
  </w:style>
  <w:style w:type="character" w:styleId="21">
    <w:name w:val="Intense Emphasis"/>
    <w:basedOn w:val="a0"/>
    <w:uiPriority w:val="21"/>
    <w:qFormat/>
    <w:rsid w:val="00F71298"/>
    <w:rPr>
      <w:i/>
      <w:iCs/>
      <w:color w:val="0F4761" w:themeColor="accent1" w:themeShade="BF"/>
    </w:rPr>
  </w:style>
  <w:style w:type="paragraph" w:styleId="22">
    <w:name w:val="Intense Quote"/>
    <w:basedOn w:val="a"/>
    <w:next w:val="a"/>
    <w:link w:val="23"/>
    <w:uiPriority w:val="30"/>
    <w:qFormat/>
    <w:rsid w:val="00F712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71298"/>
    <w:rPr>
      <w:i/>
      <w:iCs/>
      <w:color w:val="0F4761" w:themeColor="accent1" w:themeShade="BF"/>
    </w:rPr>
  </w:style>
  <w:style w:type="character" w:styleId="24">
    <w:name w:val="Intense Reference"/>
    <w:basedOn w:val="a0"/>
    <w:uiPriority w:val="32"/>
    <w:qFormat/>
    <w:rsid w:val="00F71298"/>
    <w:rPr>
      <w:b/>
      <w:bCs/>
      <w:smallCaps/>
      <w:color w:val="0F4761" w:themeColor="accent1" w:themeShade="BF"/>
      <w:spacing w:val="5"/>
    </w:rPr>
  </w:style>
  <w:style w:type="paragraph" w:styleId="aa">
    <w:name w:val="caption"/>
    <w:basedOn w:val="a"/>
    <w:next w:val="a"/>
    <w:uiPriority w:val="35"/>
    <w:unhideWhenUsed/>
    <w:qFormat/>
    <w:rsid w:val="00F71298"/>
    <w:rPr>
      <w:b/>
      <w:bCs/>
      <w:szCs w:val="21"/>
    </w:rPr>
  </w:style>
  <w:style w:type="paragraph" w:styleId="HTML">
    <w:name w:val="HTML Preformatted"/>
    <w:basedOn w:val="a"/>
    <w:link w:val="HTML0"/>
    <w:uiPriority w:val="99"/>
    <w:semiHidden/>
    <w:unhideWhenUsed/>
    <w:rsid w:val="00F71298"/>
    <w:rPr>
      <w:rFonts w:ascii="Courier New" w:hAnsi="Courier New" w:cs="Courier New"/>
      <w:sz w:val="20"/>
      <w:szCs w:val="20"/>
    </w:rPr>
  </w:style>
  <w:style w:type="character" w:customStyle="1" w:styleId="HTML0">
    <w:name w:val="HTML 書式付き (文字)"/>
    <w:basedOn w:val="a0"/>
    <w:link w:val="HTML"/>
    <w:uiPriority w:val="99"/>
    <w:semiHidden/>
    <w:rsid w:val="00F71298"/>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508</Words>
  <Characters>2901</Characters>
  <Application>Microsoft Office Word</Application>
  <DocSecurity>0</DocSecurity>
  <Lines>24</Lines>
  <Paragraphs>6</Paragraphs>
  <ScaleCrop>false</ScaleCrop>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聖明 的場</dc:creator>
  <cp:keywords/>
  <dc:description/>
  <cp:lastModifiedBy>聖明 的場</cp:lastModifiedBy>
  <cp:revision>2</cp:revision>
  <cp:lastPrinted>2026-07-03T16:05:00Z</cp:lastPrinted>
  <dcterms:created xsi:type="dcterms:W3CDTF">2026-07-03T16:08:00Z</dcterms:created>
  <dcterms:modified xsi:type="dcterms:W3CDTF">2026-07-03T16:08:00Z</dcterms:modified>
</cp:coreProperties>
</file>